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20" w:line="240" w:lineRule="auto"/>
      </w:pPr>
      <w:r>
        <w:rPr>
          <w:rFonts w:ascii="Arial" w:hAnsi="Arial"/>
          <w:b/>
          <w:i w:val="0"/>
          <w:color w:val="172634"/>
          <w:sz w:val="40"/>
        </w:rPr>
        <w:t>Independent AI Content Ratings</w:t>
      </w:r>
    </w:p>
    <w:p>
      <w:pPr>
        <w:spacing w:before="0" w:after="120" w:line="240" w:lineRule="auto"/>
      </w:pPr>
      <w:r>
        <w:rPr>
          <w:rFonts w:ascii="Arial" w:hAnsi="Arial"/>
          <w:b/>
          <w:i w:val="0"/>
          <w:color w:val="54606B"/>
          <w:sz w:val="23"/>
        </w:rPr>
        <w:t>Business Model &amp; Operating Plan — V1</w:t>
      </w:r>
      <w:r>
        <w:rPr>
          <w:rFonts w:ascii="Arial" w:hAnsi="Arial"/>
          <w:b w:val="0"/>
          <w:i w:val="0"/>
          <w:color w:val="54606B"/>
          <w:sz w:val="20"/>
        </w:rPr>
        <w:t xml:space="preserve">  |  Post-Training Market Infrastructure  |  Finance &amp; Investing Pilot</w:t>
      </w:r>
    </w:p>
    <w:tbl>
      <w:tblPr>
        <w:tblW w:type="auto" w:w="0"/>
        <w:jc w:val="center"/>
        <w:tblLayout w:type="autofit"/>
        <w:tblLook w:firstColumn="1" w:firstRow="1" w:lastColumn="0" w:lastRow="0" w:noHBand="0" w:noVBand="1" w:val="04A0"/>
        <w:tblBorders>
          <w:top w:val="single" w:sz="6" w:space="0" w:color="D8DEE4"/>
          <w:left w:val="single" w:sz="6" w:space="0" w:color="D8DEE4"/>
          <w:bottom w:val="single" w:sz="6" w:space="0" w:color="D8DEE4"/>
          <w:right w:val="single" w:sz="6" w:space="0" w:color="D8DEE4"/>
          <w:insideH w:val="single" w:sz="6" w:space="0" w:color="D8DEE4"/>
          <w:insideV w:val="single" w:sz="6" w:space="0" w:color="D8DEE4"/>
        </w:tblBorders>
      </w:tblPr>
      <w:tblGrid>
        <w:gridCol w:w="10656"/>
      </w:tblGrid>
      <w:tr>
        <w:tc>
          <w:tcPr>
            <w:tcW w:type="dxa" w:w="10656"/>
            <w:shd w:fill="F3F5F7"/>
            <w:tcMar>
              <w:top w:w="110" w:type="dxa"/>
              <w:start w:w="130" w:type="dxa"/>
              <w:bottom w:w="105" w:type="dxa"/>
              <w:end w:w="130" w:type="dxa"/>
            </w:tcMar>
          </w:tcPr>
          <w:p>
            <w:pPr>
              <w:spacing w:before="0" w:after="60" w:line="240" w:lineRule="auto"/>
            </w:pPr>
            <w:r>
              <w:rPr>
                <w:rFonts w:ascii="Arial" w:hAnsi="Arial"/>
                <w:b/>
                <w:i w:val="0"/>
                <w:color w:val="556370"/>
                <w:sz w:val="16"/>
              </w:rPr>
              <w:t>CONCEPT</w:t>
            </w:r>
          </w:p>
          <w:p>
            <w:pPr>
              <w:spacing w:before="0" w:after="0" w:line="247" w:lineRule="auto"/>
            </w:pPr>
            <w:r>
              <w:rPr>
                <w:rFonts w:ascii="Arial" w:hAnsi="Arial"/>
                <w:b w:val="0"/>
                <w:i w:val="0"/>
                <w:sz w:val="18"/>
              </w:rPr>
              <w:t>Create an independent nonprofit standards body that assigns private, domain-specific letter ratings to participating content providers and product categories used in AI post-training. The rating would make content quality legible before purchase, helping providers differentiate premium information, AI developers reduce diligence costs, and enterprise customers support premium AI products built on higher-quality inputs.</w:t>
            </w:r>
          </w:p>
        </w:tc>
      </w:tr>
    </w:tbl>
    <w:p>
      <w:pPr>
        <w:keepNext/>
        <w:spacing w:before="60" w:after="50" w:line="240" w:lineRule="auto"/>
      </w:pPr>
      <w:r>
        <w:rPr>
          <w:rFonts w:ascii="Arial" w:hAnsi="Arial"/>
          <w:b/>
          <w:i w:val="0"/>
          <w:color w:val="1B2B3A"/>
          <w:sz w:val="24"/>
        </w:rPr>
        <w:t>1. Problem &amp; Opportunity</w:t>
      </w:r>
    </w:p>
    <w:p>
      <w:pPr>
        <w:spacing w:before="0" w:after="40" w:line="245" w:lineRule="auto"/>
      </w:pPr>
      <w:r>
        <w:rPr>
          <w:rFonts w:ascii="Arial" w:hAnsi="Arial"/>
          <w:b w:val="0"/>
          <w:i w:val="0"/>
          <w:sz w:val="18"/>
        </w:rPr>
        <w:t>Post-training data markets are growing, but quality is difficult to inspect before purchase and there is no accepted basis for valuation. Deals remain bespoke and opaque, while attribution alone does not answer the more important economic question: is one source materially better for the task than another?</w:t>
      </w:r>
    </w:p>
    <w:p>
      <w:pPr>
        <w:pStyle w:val="ListBullet"/>
        <w:spacing w:before="0" w:after="30" w:line="240" w:lineRule="auto"/>
      </w:pPr>
      <w:r>
        <w:rPr>
          <w:rFonts w:ascii="Arial" w:hAnsi="Arial"/>
          <w:b w:val="0"/>
          <w:i w:val="0"/>
          <w:sz w:val="18"/>
        </w:rPr>
        <w:t>Buyers lack a common, independent quality signal across providers and product categories.</w:t>
      </w:r>
    </w:p>
    <w:p>
      <w:pPr>
        <w:pStyle w:val="ListBullet"/>
        <w:spacing w:before="0" w:after="30" w:line="240" w:lineRule="auto"/>
      </w:pPr>
      <w:r>
        <w:rPr>
          <w:rFonts w:ascii="Arial" w:hAnsi="Arial"/>
          <w:b w:val="0"/>
          <w:i w:val="0"/>
          <w:sz w:val="18"/>
        </w:rPr>
        <w:t>Providers that invest in authoritative, accurate or distinctive content have limited ways to prove that premium to AI buyers.</w:t>
      </w:r>
    </w:p>
    <w:p>
      <w:pPr>
        <w:pStyle w:val="ListBullet"/>
        <w:spacing w:before="0" w:after="30" w:line="240" w:lineRule="auto"/>
      </w:pPr>
      <w:r>
        <w:rPr>
          <w:rFonts w:ascii="Arial" w:hAnsi="Arial"/>
          <w:b w:val="0"/>
          <w:i w:val="0"/>
          <w:sz w:val="18"/>
        </w:rPr>
        <w:t>Without comparable quality signals, “good enough” data can crowd out better information and weaken incentives to keep producing high-quality knowledge.</w:t>
      </w:r>
    </w:p>
    <w:p>
      <w:pPr>
        <w:keepNext/>
        <w:spacing w:before="60" w:after="50" w:line="240" w:lineRule="auto"/>
      </w:pPr>
      <w:r>
        <w:rPr>
          <w:rFonts w:ascii="Arial" w:hAnsi="Arial"/>
          <w:b/>
          <w:i w:val="0"/>
          <w:color w:val="1B2B3A"/>
          <w:sz w:val="24"/>
        </w:rPr>
        <w:t>2. Proposed Solution</w:t>
      </w:r>
    </w:p>
    <w:p>
      <w:pPr>
        <w:spacing w:before="0" w:after="40" w:line="245" w:lineRule="auto"/>
      </w:pPr>
      <w:r>
        <w:rPr>
          <w:rFonts w:ascii="Arial" w:hAnsi="Arial"/>
          <w:b w:val="0"/>
          <w:i w:val="0"/>
          <w:sz w:val="18"/>
        </w:rPr>
        <w:t xml:space="preserve">The standards body would rate </w:t>
      </w:r>
      <w:r>
        <w:rPr>
          <w:rFonts w:ascii="Arial" w:hAnsi="Arial"/>
          <w:b/>
          <w:i w:val="0"/>
          <w:sz w:val="18"/>
        </w:rPr>
        <w:t>provider + product category</w:t>
      </w:r>
      <w:r>
        <w:rPr>
          <w:rFonts w:ascii="Arial" w:hAnsi="Arial"/>
          <w:b w:val="0"/>
          <w:i w:val="0"/>
          <w:sz w:val="18"/>
        </w:rPr>
        <w:t xml:space="preserve"> rather than issuing a universal score for an entire company. A financial-data provider could therefore receive different grades for market data, research, transcripts, alternative data, or other products.</w:t>
      </w:r>
    </w:p>
    <w:tbl>
      <w:tblPr>
        <w:tblW w:type="auto" w:w="0"/>
        <w:jc w:val="center"/>
        <w:tblLook w:firstColumn="1" w:firstRow="1" w:lastColumn="0" w:lastRow="0" w:noHBand="0" w:noVBand="1" w:val="04A0"/>
        <w:tblBorders>
          <w:top w:val="single" w:sz="4" w:space="0" w:color="D9DEE3"/>
          <w:left w:val="single" w:sz="4" w:space="0" w:color="D9DEE3"/>
          <w:bottom w:val="single" w:sz="4" w:space="0" w:color="D9DEE3"/>
          <w:right w:val="single" w:sz="4" w:space="0" w:color="D9DEE3"/>
          <w:insideH w:val="single" w:sz="4" w:space="0" w:color="D9DEE3"/>
          <w:insideV w:val="single" w:sz="4" w:space="0" w:color="D9DEE3"/>
        </w:tblBorders>
      </w:tblPr>
      <w:tblGrid>
        <w:gridCol w:w="5328"/>
        <w:gridCol w:w="5328"/>
      </w:tblGrid>
      <w:tr>
        <w:trPr>
          <w:tblHeader w:val="true"/>
        </w:trPr>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6"/>
              </w:rPr>
              <w:t>WHAT IT DOES</w:t>
            </w:r>
          </w:p>
        </w:tc>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6"/>
              </w:rPr>
              <w:t>WHAT IT DOES NOT DO</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6"/>
              </w:rPr>
              <w:t>• Creates a common quality standard for post-training procurement.</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6"/>
              </w:rPr>
              <w:t>• Does not license or resell content.</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6"/>
              </w:rPr>
              <w:t>• Assigns private letter grades to participating provider/product categories.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6"/>
              </w:rPr>
              <w:t>• Does not set the price of the underlying data.</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6"/>
              </w:rPr>
              <w:t>• Provides machine-readable ratings and detailed scorecards to authorized buyers.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6"/>
              </w:rPr>
              <w:t>• Does not perform attribution or calculate source-level Shapley payments.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6"/>
              </w:rPr>
              <w:t>• Periodically tests whether higher-rated content tends to support better downstream results.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6"/>
              </w:rPr>
              <w:t>• Does not rate AI models or require model-uplift testing for certification.</w:t>
            </w:r>
          </w:p>
        </w:tc>
      </w:tr>
    </w:tbl>
    <w:p>
      <w:pPr>
        <w:keepNext/>
        <w:spacing w:before="60" w:after="50" w:line="240" w:lineRule="auto"/>
      </w:pPr>
      <w:r>
        <w:rPr>
          <w:rFonts w:ascii="Arial" w:hAnsi="Arial"/>
          <w:b/>
          <w:i w:val="0"/>
          <w:color w:val="1B2B3A"/>
          <w:sz w:val="24"/>
        </w:rPr>
        <w:t>3. Market Architecture</w:t>
      </w:r>
    </w:p>
    <w:p>
      <w:pPr>
        <w:spacing w:before="0" w:after="40" w:line="240" w:lineRule="auto"/>
        <w:jc w:val="center"/>
      </w:pPr>
      <w:r>
        <w:rPr>
          <w:rFonts w:ascii="Arial" w:hAnsi="Arial"/>
          <w:b/>
          <w:i w:val="0"/>
          <w:color w:val="2D3D4B"/>
          <w:sz w:val="17"/>
        </w:rPr>
        <w:t>Content provider  →  Independent ratings standard  →  AI developer / aggregator  →  Enterprise AI product  →  Enterprise customer</w:t>
      </w:r>
    </w:p>
    <w:p>
      <w:pPr>
        <w:spacing w:before="0" w:after="40" w:line="240" w:lineRule="auto"/>
      </w:pPr>
      <w:r>
        <w:rPr>
          <w:rFonts w:ascii="Arial" w:hAnsi="Arial"/>
          <w:b w:val="0"/>
          <w:i w:val="0"/>
          <w:sz w:val="17"/>
        </w:rPr>
        <w:t>Providers pay a flat assessment fee based on catalogue size and complexity. AI developers or aggregators separately license content from providers. Enterprise customers pay for AI products whose quality can be differentiated in part by the quality of the underlying information. The standards body does not intermediate those licensing payments.</w:t>
      </w:r>
    </w:p>
    <w:p>
      <w:pPr>
        <w:keepNext/>
        <w:spacing w:before="60" w:after="50" w:line="240" w:lineRule="auto"/>
      </w:pPr>
      <w:r>
        <w:rPr>
          <w:rFonts w:ascii="Arial" w:hAnsi="Arial"/>
          <w:b/>
          <w:i w:val="0"/>
          <w:color w:val="1B2B3A"/>
          <w:sz w:val="24"/>
        </w:rPr>
        <w:t>4. Rating Framework</w:t>
      </w:r>
    </w:p>
    <w:tbl>
      <w:tblPr>
        <w:tblW w:type="auto" w:w="0"/>
        <w:jc w:val="center"/>
        <w:tblLook w:firstColumn="1" w:firstRow="1" w:lastColumn="0" w:lastRow="0" w:noHBand="0" w:noVBand="1" w:val="04A0"/>
        <w:tblBorders>
          <w:top w:val="single" w:sz="4" w:space="0" w:color="D9DEE3"/>
          <w:left w:val="single" w:sz="4" w:space="0" w:color="D9DEE3"/>
          <w:bottom w:val="single" w:sz="4" w:space="0" w:color="D9DEE3"/>
          <w:right w:val="single" w:sz="4" w:space="0" w:color="D9DEE3"/>
          <w:insideH w:val="single" w:sz="4" w:space="0" w:color="D9DEE3"/>
          <w:insideV w:val="single" w:sz="4" w:space="0" w:color="D9DEE3"/>
        </w:tblBorders>
      </w:tblPr>
      <w:tblGrid>
        <w:gridCol w:w="5328"/>
        <w:gridCol w:w="5328"/>
      </w:tblGrid>
      <w:tr>
        <w:trPr>
          <w:tblHeader w:val="true"/>
        </w:trPr>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5"/>
              </w:rPr>
              <w:t>Element</w:t>
            </w:r>
          </w:p>
        </w:tc>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5"/>
              </w:rPr>
              <w:t>V1 design</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5"/>
              </w:rPr>
              <w:t>Unit of rating</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5"/>
              </w:rPr>
              <w:t>A participating provider + a defined product category/use class.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5"/>
              </w:rPr>
              <w:t>Eligibility gate</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5"/>
              </w:rPr>
              <w:t>Provider must establish relevant rights, provenance, documentation and permitted post-training use. Failure means no rating for that use.</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5"/>
              </w:rPr>
              <w:t>Core dimensions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5"/>
              </w:rPr>
              <w:t>Accuracy &amp; reliability; provenance &amp; auditability; timeliness; coverage/representativeness; methodological rigor; distinctiveness/substitutability. Weights vary by category.</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5"/>
              </w:rPr>
              <w:t>Raters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5"/>
              </w:rPr>
              <w:t>Human-led: staff analysts + vetted domain experts + limited end-user/non-expert input where relevant. No model-generated ratings.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5"/>
              </w:rPr>
              <w:t>Grade</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5"/>
              </w:rPr>
              <w:t>Private letter grade: AAA / AA / A / B / C. Descriptors and thresholds are calibrated during the pilot; grades are category-specific, not universal.</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5"/>
              </w:rPr>
              <w:t>Access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5"/>
              </w:rPr>
              <w:t>Ratings are not publicly ranked. Detailed reports and machine-readable scores are available to participating providers and authorized buyer members.</w:t>
            </w:r>
          </w:p>
        </w:tc>
      </w:tr>
    </w:tbl>
    <w:p>
      <w:r>
        <w:br w:type="page"/>
      </w:r>
    </w:p>
    <w:p>
      <w:pPr>
        <w:keepNext/>
        <w:spacing w:before="60" w:after="50" w:line="240" w:lineRule="auto"/>
      </w:pPr>
      <w:r>
        <w:rPr>
          <w:rFonts w:ascii="Arial" w:hAnsi="Arial"/>
          <w:b/>
          <w:i w:val="0"/>
          <w:color w:val="1B2B3A"/>
          <w:sz w:val="24"/>
        </w:rPr>
        <w:t>5. Operating Model</w:t>
      </w:r>
    </w:p>
    <w:tbl>
      <w:tblPr>
        <w:tblW w:type="auto" w:w="0"/>
        <w:jc w:val="center"/>
        <w:tblLook w:firstColumn="1" w:firstRow="1" w:lastColumn="0" w:lastRow="0" w:noHBand="0" w:noVBand="1" w:val="04A0"/>
        <w:tblBorders>
          <w:top w:val="single" w:sz="4" w:space="0" w:color="D9DEE3"/>
          <w:left w:val="single" w:sz="4" w:space="0" w:color="D9DEE3"/>
          <w:bottom w:val="single" w:sz="4" w:space="0" w:color="D9DEE3"/>
          <w:right w:val="single" w:sz="4" w:space="0" w:color="D9DEE3"/>
          <w:insideH w:val="single" w:sz="4" w:space="0" w:color="D9DEE3"/>
          <w:insideV w:val="single" w:sz="4" w:space="0" w:color="D9DEE3"/>
        </w:tblBorders>
      </w:tblPr>
      <w:tblGrid>
        <w:gridCol w:w="3552"/>
        <w:gridCol w:w="3552"/>
        <w:gridCol w:w="3552"/>
      </w:tblGrid>
      <w:tr>
        <w:trPr>
          <w:tblHeader w:val="true"/>
        </w:trPr>
        <w:tc>
          <w:tcPr>
            <w:tcW w:type="dxa" w:w="3552"/>
            <w:vAlign w:val="top"/>
            <w:tcMar>
              <w:top w:w="60" w:type="dxa"/>
              <w:start w:w="80" w:type="dxa"/>
              <w:bottom w:w="60" w:type="dxa"/>
              <w:end w:w="80" w:type="dxa"/>
            </w:tcMar>
            <w:shd w:fill="E9EEF2"/>
          </w:tcPr>
          <w:p>
            <w:pPr>
              <w:spacing w:before="0" w:after="16" w:line="235" w:lineRule="auto"/>
            </w:pPr>
            <w:r>
              <w:rPr>
                <w:rFonts w:ascii="Arial" w:hAnsi="Arial"/>
                <w:b/>
                <w:sz w:val="15"/>
              </w:rPr>
              <w:t>Step</w:t>
            </w:r>
          </w:p>
        </w:tc>
        <w:tc>
          <w:tcPr>
            <w:tcW w:type="dxa" w:w="3552"/>
            <w:vAlign w:val="top"/>
            <w:tcMar>
              <w:top w:w="60" w:type="dxa"/>
              <w:start w:w="80" w:type="dxa"/>
              <w:bottom w:w="60" w:type="dxa"/>
              <w:end w:w="80" w:type="dxa"/>
            </w:tcMar>
            <w:shd w:fill="E9EEF2"/>
          </w:tcPr>
          <w:p>
            <w:pPr>
              <w:spacing w:before="0" w:after="16" w:line="235" w:lineRule="auto"/>
            </w:pPr>
            <w:r>
              <w:rPr>
                <w:rFonts w:ascii="Arial" w:hAnsi="Arial"/>
                <w:b/>
                <w:sz w:val="15"/>
              </w:rPr>
              <w:t>Process</w:t>
            </w:r>
          </w:p>
        </w:tc>
        <w:tc>
          <w:tcPr>
            <w:tcW w:type="dxa" w:w="3552"/>
            <w:vAlign w:val="top"/>
            <w:tcMar>
              <w:top w:w="60" w:type="dxa"/>
              <w:start w:w="80" w:type="dxa"/>
              <w:bottom w:w="60" w:type="dxa"/>
              <w:end w:w="80" w:type="dxa"/>
            </w:tcMar>
            <w:shd w:fill="E9EEF2"/>
          </w:tcPr>
          <w:p>
            <w:pPr>
              <w:spacing w:before="0" w:after="16" w:line="235" w:lineRule="auto"/>
            </w:pPr>
            <w:r>
              <w:rPr>
                <w:rFonts w:ascii="Arial" w:hAnsi="Arial"/>
                <w:b/>
                <w:sz w:val="15"/>
              </w:rPr>
              <w:t>Output</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5"/>
              </w:rPr>
              <w:t>1. Apply &amp; define scope</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Provider selects the product category and intended post-training use; submits catalogue scope and rights documentation.</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Rating mandate + evidence checklist</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5"/>
              </w:rPr>
              <w:t>2. Evidence intake</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Provider supplies samples, lineage/provenance, QA and correction processes, update cadence, methodology, coverage claims and relevant legal permissions.</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Structured evidence package</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5"/>
              </w:rPr>
              <w:t>3. Analyst assessment</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Staff analysts test evidence against the category rubric, including sampling and quantitative checks where possible.</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Preliminary dimension scores</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5"/>
              </w:rPr>
              <w:t>4. Expert review</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Vetted domain experts review judgment-heavy criteria. User/non-expert input may supplement the process in domains where subjective utility matters.</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Expert findings + challenge log</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5"/>
              </w:rPr>
              <w:t>5. Rating committee</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An independent committee reviews the record, resolves disagreements and assigns the letter grade. Commercial staff do not vote.</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Private grade + scorecard</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5"/>
              </w:rPr>
              <w:t>6. Monitor &amp; renew</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Annual re-rating plus event-driven review after material methodology, ownership, legal, correction or quality changes. Providers may appeal through a separate panel.</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5"/>
              </w:rPr>
              <w:t>Current grade + rating history</w:t>
            </w:r>
          </w:p>
        </w:tc>
      </w:tr>
    </w:tbl>
    <w:p>
      <w:pPr>
        <w:keepNext/>
        <w:spacing w:before="60" w:after="50" w:line="240" w:lineRule="auto"/>
      </w:pPr>
      <w:r>
        <w:rPr>
          <w:rFonts w:ascii="Arial" w:hAnsi="Arial"/>
          <w:b/>
          <w:i w:val="0"/>
          <w:color w:val="1B2B3A"/>
          <w:sz w:val="24"/>
        </w:rPr>
        <w:t>6. Governance: Nonprofit Standards Body</w:t>
      </w:r>
    </w:p>
    <w:p>
      <w:pPr>
        <w:spacing w:before="0" w:after="40" w:line="240" w:lineRule="auto"/>
      </w:pPr>
      <w:r>
        <w:rPr>
          <w:rFonts w:ascii="Arial" w:hAnsi="Arial"/>
          <w:b w:val="0"/>
          <w:i w:val="0"/>
          <w:sz w:val="17"/>
        </w:rPr>
        <w:t>The central asset is trust. A nonprofit structure reduces the incentive to maximize rating volume or transaction fees and allows the standard to be governed as shared market infrastructure.</w:t>
      </w:r>
    </w:p>
    <w:p>
      <w:pPr>
        <w:pStyle w:val="ListBullet"/>
        <w:spacing w:before="0" w:after="22" w:line="240" w:lineRule="auto"/>
      </w:pPr>
      <w:r>
        <w:rPr>
          <w:rFonts w:ascii="Arial" w:hAnsi="Arial"/>
          <w:b w:val="0"/>
          <w:i w:val="0"/>
          <w:sz w:val="17"/>
        </w:rPr>
        <w:t>Balanced board representation across content providers, AI/model developers, enterprise buyers, independent domain experts and public-interest/standards expertise.</w:t>
      </w:r>
    </w:p>
    <w:p>
      <w:pPr>
        <w:pStyle w:val="ListBullet"/>
        <w:spacing w:before="0" w:after="22" w:line="240" w:lineRule="auto"/>
      </w:pPr>
      <w:r>
        <w:rPr>
          <w:rFonts w:ascii="Arial" w:hAnsi="Arial"/>
          <w:b w:val="0"/>
          <w:i w:val="0"/>
          <w:sz w:val="17"/>
        </w:rPr>
        <w:t>Published methodology and category rubrics; fixed fee schedules based on catalogue size/complexity, never on the grade received.</w:t>
      </w:r>
    </w:p>
    <w:p>
      <w:pPr>
        <w:pStyle w:val="ListBullet"/>
        <w:spacing w:before="0" w:after="22" w:line="240" w:lineRule="auto"/>
      </w:pPr>
      <w:r>
        <w:rPr>
          <w:rFonts w:ascii="Arial" w:hAnsi="Arial"/>
          <w:b w:val="0"/>
          <w:i w:val="0"/>
          <w:sz w:val="17"/>
        </w:rPr>
        <w:t>Structural separation between commercial/member functions and rating decisions; conflict disclosures, analyst rotation and independent appeals.</w:t>
      </w:r>
    </w:p>
    <w:p>
      <w:pPr>
        <w:pStyle w:val="ListBullet"/>
        <w:spacing w:before="0" w:after="22" w:line="240" w:lineRule="auto"/>
      </w:pPr>
      <w:r>
        <w:rPr>
          <w:rFonts w:ascii="Arial" w:hAnsi="Arial"/>
          <w:b w:val="0"/>
          <w:i w:val="0"/>
          <w:sz w:val="17"/>
        </w:rPr>
        <w:t>Ratings remain voluntary and private. Only participating providers are rated; the body does not publish unsolicited grades or a public league table.</w:t>
      </w:r>
    </w:p>
    <w:p>
      <w:pPr>
        <w:pStyle w:val="ListBullet"/>
        <w:spacing w:before="0" w:after="22" w:line="240" w:lineRule="auto"/>
      </w:pPr>
      <w:r>
        <w:rPr>
          <w:rFonts w:ascii="Arial" w:hAnsi="Arial"/>
          <w:b w:val="0"/>
          <w:i w:val="0"/>
          <w:sz w:val="17"/>
        </w:rPr>
        <w:t>Occasional downstream evaluations are used to validate and refine the methodology, in consultation with model companies, but are not a certification requirement.</w:t>
      </w:r>
    </w:p>
    <w:p>
      <w:pPr>
        <w:keepNext/>
        <w:spacing w:before="60" w:after="50" w:line="240" w:lineRule="auto"/>
      </w:pPr>
      <w:r>
        <w:rPr>
          <w:rFonts w:ascii="Arial" w:hAnsi="Arial"/>
          <w:b/>
          <w:i w:val="0"/>
          <w:color w:val="1B2B3A"/>
          <w:sz w:val="24"/>
        </w:rPr>
        <w:t>7. Business Model Canvas</w:t>
      </w:r>
    </w:p>
    <w:tbl>
      <w:tblPr>
        <w:tblW w:type="auto" w:w="0"/>
        <w:jc w:val="center"/>
        <w:tblLook w:firstColumn="1" w:firstRow="1" w:lastColumn="0" w:lastRow="0" w:noHBand="0" w:noVBand="1" w:val="04A0"/>
        <w:tblBorders>
          <w:top w:val="single" w:sz="4" w:space="0" w:color="D9DEE3"/>
          <w:left w:val="single" w:sz="4" w:space="0" w:color="D9DEE3"/>
          <w:bottom w:val="single" w:sz="4" w:space="0" w:color="D9DEE3"/>
          <w:right w:val="single" w:sz="4" w:space="0" w:color="D9DEE3"/>
          <w:insideH w:val="single" w:sz="4" w:space="0" w:color="D9DEE3"/>
          <w:insideV w:val="single" w:sz="4" w:space="0" w:color="D9DEE3"/>
        </w:tblBorders>
      </w:tblPr>
      <w:tblGrid>
        <w:gridCol w:w="5328"/>
        <w:gridCol w:w="5328"/>
      </w:tblGrid>
      <w:tr>
        <w:trPr>
          <w:tblHeader w:val="true"/>
        </w:trPr>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4"/>
              </w:rPr>
              <w:t>Canvas block</w:t>
            </w:r>
          </w:p>
        </w:tc>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4"/>
              </w:rPr>
              <w:t>V1 model</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Value proposition</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Independent, domain-specific quality signal that lowers diligence costs, supports price discovery and gives premium providers a credible way to differentiate their post-training content.</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Customer segments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Paying supply side: participating content/data providers. Paying demand side: AI developers, enterprise AI companies and aggregators that subscribe to detailed ratings/API access. Beneficiaries: enterprise customers.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Revenue streams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Hybrid: annual provider assessment/re-rating fee scaled to catalogue size/complexity + buyer membership/subscription/API fees. Grants or founding memberships can underwrite launch. No transaction fee.</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Channels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Private ratings portal; machine-readable API/feed; provider scorecards; procurement integrations; buyer-member access; standards partnerships.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Customer relationships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Annual assessment cycle, monitoring, evidence requests, confidential scorecards, methodology updates and formal appeal/correction process.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Key activities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Define vertical rubrics; assess providers; manage analysts/experts; monitor quality; maintain rating histories; run periodic validation studies; develop standards and integrations.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Key resources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Methodology, domain expertise, trusted governance, rating history, evidence repository, analyst/expert network and technical/API infrastructure.</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Key partners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Content providers; AI developers; aggregators; enterprise finance firms; domain experts; provenance/standards bodies; independent evaluators and auditors.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Cost structure</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Analyst/expert review, evidence verification, technology/API, standards development, governance/audit, legal/compliance and member/provider onboarding.</w:t>
            </w:r>
          </w:p>
        </w:tc>
      </w:tr>
    </w:tbl>
    <w:p>
      <w:r>
        <w:br w:type="page"/>
      </w:r>
    </w:p>
    <w:p>
      <w:pPr>
        <w:keepNext/>
        <w:spacing w:before="60" w:after="50" w:line="240" w:lineRule="auto"/>
      </w:pPr>
      <w:r>
        <w:rPr>
          <w:rFonts w:ascii="Arial" w:hAnsi="Arial"/>
          <w:b/>
          <w:i w:val="0"/>
          <w:color w:val="1B2B3A"/>
          <w:sz w:val="24"/>
        </w:rPr>
        <w:t>8. Initial Wedge: Finance &amp; Investing</w:t>
      </w:r>
    </w:p>
    <w:p>
      <w:pPr>
        <w:spacing w:before="0" w:after="20" w:line="240" w:lineRule="auto"/>
      </w:pPr>
      <w:r>
        <w:rPr>
          <w:rFonts w:ascii="Arial" w:hAnsi="Arial"/>
          <w:b w:val="0"/>
          <w:i w:val="0"/>
          <w:sz w:val="18"/>
        </w:rPr>
        <w:t>Finance is a strong first market because buyers already pay for trusted information, data procurement and vendor diligence are mature functions, and the consequences of poor-quality inputs are concrete. The pilot should deliberately include a mix of provider types — structured market/fundamental data, premium research, alternative data and expert analysis — to test whether one standard can support category-specific rubrics.</w:t>
      </w:r>
    </w:p>
    <w:p>
      <w:pPr>
        <w:pStyle w:val="ListBullet"/>
        <w:spacing w:before="0" w:after="16" w:line="240" w:lineRule="auto"/>
      </w:pPr>
      <w:r>
        <w:rPr>
          <w:rFonts w:ascii="Arial" w:hAnsi="Arial"/>
          <w:b w:val="0"/>
          <w:i w:val="0"/>
          <w:sz w:val="16"/>
        </w:rPr>
        <w:t>Demand-side validation already exists: finance AI products increasingly bundle premium third-party datasets, while model developers are investing in domain-specific post-training and data interpretation.</w:t>
      </w:r>
    </w:p>
    <w:p>
      <w:pPr>
        <w:pStyle w:val="ListBullet"/>
        <w:spacing w:before="0" w:after="16" w:line="240" w:lineRule="auto"/>
      </w:pPr>
      <w:r>
        <w:rPr>
          <w:rFonts w:ascii="Arial" w:hAnsi="Arial"/>
          <w:b w:val="0"/>
          <w:i w:val="0"/>
          <w:sz w:val="16"/>
        </w:rPr>
        <w:t>The standard should complement — not replace — existing procurement, licensing, provenance and compliance processes.</w:t>
      </w:r>
    </w:p>
    <w:p>
      <w:pPr>
        <w:keepNext/>
        <w:spacing w:before="60" w:after="50" w:line="240" w:lineRule="auto"/>
      </w:pPr>
      <w:r>
        <w:rPr>
          <w:rFonts w:ascii="Arial" w:hAnsi="Arial"/>
          <w:b/>
          <w:i w:val="0"/>
          <w:color w:val="1B2B3A"/>
          <w:sz w:val="24"/>
        </w:rPr>
        <w:t>9. Competitive / Adjacent Landscape</w:t>
      </w:r>
    </w:p>
    <w:tbl>
      <w:tblPr>
        <w:tblW w:type="auto" w:w="0"/>
        <w:jc w:val="center"/>
        <w:tblLook w:firstColumn="1" w:firstRow="1" w:lastColumn="0" w:lastRow="0" w:noHBand="0" w:noVBand="1" w:val="04A0"/>
        <w:tblBorders>
          <w:top w:val="single" w:sz="4" w:space="0" w:color="D9DEE3"/>
          <w:left w:val="single" w:sz="4" w:space="0" w:color="D9DEE3"/>
          <w:bottom w:val="single" w:sz="4" w:space="0" w:color="D9DEE3"/>
          <w:right w:val="single" w:sz="4" w:space="0" w:color="D9DEE3"/>
          <w:insideH w:val="single" w:sz="4" w:space="0" w:color="D9DEE3"/>
          <w:insideV w:val="single" w:sz="4" w:space="0" w:color="D9DEE3"/>
        </w:tblBorders>
      </w:tblPr>
      <w:tblGrid>
        <w:gridCol w:w="3552"/>
        <w:gridCol w:w="3552"/>
        <w:gridCol w:w="3552"/>
      </w:tblGrid>
      <w:tr>
        <w:trPr>
          <w:tblHeader w:val="true"/>
        </w:trPr>
        <w:tc>
          <w:tcPr>
            <w:tcW w:type="dxa" w:w="3552"/>
            <w:vAlign w:val="top"/>
            <w:tcMar>
              <w:top w:w="60" w:type="dxa"/>
              <w:start w:w="80" w:type="dxa"/>
              <w:bottom w:w="60" w:type="dxa"/>
              <w:end w:w="80" w:type="dxa"/>
            </w:tcMar>
            <w:shd w:fill="E9EEF2"/>
          </w:tcPr>
          <w:p>
            <w:pPr>
              <w:spacing w:before="0" w:after="16" w:line="235" w:lineRule="auto"/>
            </w:pPr>
            <w:r>
              <w:rPr>
                <w:rFonts w:ascii="Arial" w:hAnsi="Arial"/>
                <w:b/>
                <w:sz w:val="14"/>
              </w:rPr>
              <w:t>Player / precedent</w:t>
            </w:r>
          </w:p>
        </w:tc>
        <w:tc>
          <w:tcPr>
            <w:tcW w:type="dxa" w:w="3552"/>
            <w:vAlign w:val="top"/>
            <w:tcMar>
              <w:top w:w="60" w:type="dxa"/>
              <w:start w:w="80" w:type="dxa"/>
              <w:bottom w:w="60" w:type="dxa"/>
              <w:end w:w="80" w:type="dxa"/>
            </w:tcMar>
            <w:shd w:fill="E9EEF2"/>
          </w:tcPr>
          <w:p>
            <w:pPr>
              <w:spacing w:before="0" w:after="16" w:line="235" w:lineRule="auto"/>
            </w:pPr>
            <w:r>
              <w:rPr>
                <w:rFonts w:ascii="Arial" w:hAnsi="Arial"/>
                <w:b/>
                <w:sz w:val="14"/>
              </w:rPr>
              <w:t>What it does</w:t>
            </w:r>
          </w:p>
        </w:tc>
        <w:tc>
          <w:tcPr>
            <w:tcW w:type="dxa" w:w="3552"/>
            <w:vAlign w:val="top"/>
            <w:tcMar>
              <w:top w:w="60" w:type="dxa"/>
              <w:start w:w="80" w:type="dxa"/>
              <w:bottom w:w="60" w:type="dxa"/>
              <w:end w:w="80" w:type="dxa"/>
            </w:tcMar>
            <w:shd w:fill="E9EEF2"/>
          </w:tcPr>
          <w:p>
            <w:pPr>
              <w:spacing w:before="0" w:after="16" w:line="235" w:lineRule="auto"/>
            </w:pPr>
            <w:r>
              <w:rPr>
                <w:rFonts w:ascii="Arial" w:hAnsi="Arial"/>
                <w:b/>
                <w:sz w:val="14"/>
              </w:rPr>
              <w:t>Implication for this proposal</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4"/>
              </w:rPr>
              <w:t>Neudata / Eagle Alpha</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Finance-focused discovery, expert research, due diligence, pricing intelligence and standardized dataset profiles for alternative/market data buyers.</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Closest finance-market adjacency. Validates buyer demand for independent evaluation, but does not operate as a nonprofit cross-provider letter-rating standard for AI post-training.</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4"/>
              </w:rPr>
              <w:t>NewsGuard</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Human-reviewed source reliability ratings used by AI companies; strongest precedent for rating information sources rather than only tracking provenance.</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Closest conceptual proof point. Focused on news/information reliability, not finance-specific post-training product categories.</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4"/>
              </w:rPr>
              <w:t>Data &amp; Trusted AI Alliance</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Cross-industry Data Provenance Standards covering source, provenance and use metadata.</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Complementary foundation: provenance is an input to the rating, but the standard does not itself assign a quality grade.</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4"/>
              </w:rPr>
              <w:t>C2PA</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Technical standard for content provenance/authenticity; explicitly avoids judging whether provenance is “good” or “bad.”</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Complementary technical layer; reinforces the white space for a value/quality judgment layer.</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4"/>
              </w:rPr>
              <w:t>Microsoft PCM / TollBit</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Licensing, access, monetization and usage-reporting rails for AI content.</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Potential distribution/transaction partners. They solve permissions and payment, not independent quality certification.</w:t>
            </w:r>
          </w:p>
        </w:tc>
      </w:tr>
      <w:tr>
        <w:tc>
          <w:tcPr>
            <w:tcW w:type="dxa" w:w="3552"/>
            <w:vAlign w:val="top"/>
            <w:tcMar>
              <w:top w:w="60" w:type="dxa"/>
              <w:start w:w="80" w:type="dxa"/>
              <w:bottom w:w="60" w:type="dxa"/>
              <w:end w:w="80" w:type="dxa"/>
            </w:tcMar>
          </w:tcPr>
          <w:p>
            <w:pPr>
              <w:spacing w:before="0" w:after="16" w:line="235" w:lineRule="auto"/>
            </w:pPr>
            <w:r>
              <w:rPr>
                <w:rFonts w:ascii="Arial" w:hAnsi="Arial"/>
                <w:b w:val="0"/>
                <w:sz w:val="14"/>
              </w:rPr>
              <w:t>FDX / industry certification bodies</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Nonprofit, multi-stakeholder standard-setting and certification in financial data interoperability.</w:t>
            </w:r>
          </w:p>
        </w:tc>
        <w:tc>
          <w:tcPr>
            <w:tcW w:type="dxa" w:w="3552"/>
            <w:vAlign w:val="top"/>
            <w:tcMar>
              <w:top w:w="60" w:type="dxa"/>
              <w:start w:w="80" w:type="dxa"/>
              <w:bottom w:w="60" w:type="dxa"/>
              <w:end w:w="80" w:type="dxa"/>
            </w:tcMar>
          </w:tcPr>
          <w:p>
            <w:pPr>
              <w:spacing w:before="0" w:after="16" w:line="235" w:lineRule="auto"/>
            </w:pPr>
            <w:r>
              <w:rPr>
                <w:rFonts w:ascii="Arial" w:hAnsi="Arial"/>
                <w:b w:val="0"/>
                <w:sz w:val="14"/>
              </w:rPr>
              <w:t>Governance precedent for a neutral standards body with certification and balanced stakeholder participation.</w:t>
            </w:r>
          </w:p>
        </w:tc>
      </w:tr>
    </w:tbl>
    <w:p>
      <w:pPr>
        <w:keepNext/>
        <w:spacing w:before="60" w:after="50" w:line="240" w:lineRule="auto"/>
      </w:pPr>
      <w:r>
        <w:rPr>
          <w:rFonts w:ascii="Arial" w:hAnsi="Arial"/>
          <w:b/>
          <w:i w:val="0"/>
          <w:color w:val="1B2B3A"/>
          <w:sz w:val="24"/>
        </w:rPr>
        <w:t>10. Pilot &amp; Path to Market Infrastructure</w:t>
      </w:r>
    </w:p>
    <w:tbl>
      <w:tblPr>
        <w:tblW w:type="auto" w:w="0"/>
        <w:jc w:val="center"/>
        <w:tblLook w:firstColumn="1" w:firstRow="1" w:lastColumn="0" w:lastRow="0" w:noHBand="0" w:noVBand="1" w:val="04A0"/>
        <w:tblBorders>
          <w:top w:val="single" w:sz="4" w:space="0" w:color="D9DEE3"/>
          <w:left w:val="single" w:sz="4" w:space="0" w:color="D9DEE3"/>
          <w:bottom w:val="single" w:sz="4" w:space="0" w:color="D9DEE3"/>
          <w:right w:val="single" w:sz="4" w:space="0" w:color="D9DEE3"/>
          <w:insideH w:val="single" w:sz="4" w:space="0" w:color="D9DEE3"/>
          <w:insideV w:val="single" w:sz="4" w:space="0" w:color="D9DEE3"/>
        </w:tblBorders>
      </w:tblPr>
      <w:tblGrid>
        <w:gridCol w:w="5328"/>
        <w:gridCol w:w="5328"/>
      </w:tblGrid>
      <w:tr>
        <w:trPr>
          <w:tblHeader w:val="true"/>
        </w:trPr>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4"/>
              </w:rPr>
              <w:t>Phase</w:t>
            </w:r>
          </w:p>
        </w:tc>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4"/>
              </w:rPr>
              <w:t>Deliverable</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0 — Convene anchors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Form a standards working group with 3–5 content providers, 2–3 AI/model developers or aggregators, 2–3 enterprise finance buyers and independent finance/data-quality experts.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1 — Build the standard</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Define product taxonomy, evidence requirements, category-specific weights, letter-grade descriptors, governance rules and private data-sharing protocol.</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2 — Run a closed pilot</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Rate roughly 20–30 provider/product-category combinations across market data, research, alternative data and expert analysis. Provide private scorecards to authorized buyer partners.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3 — Validate</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Ask model companies and enterprise users to compare rated sources with observed downstream quality where feasible. Use results to calibrate the rubric; do not make model uplift a certification requirement.</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4 — Institutionalize &amp; expand</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Launch buyer API/membership, standardize procurement language, add recurring monitoring, then build vertical modules for health, manufacturing, culture and other domains.</w:t>
            </w:r>
          </w:p>
        </w:tc>
      </w:tr>
    </w:tbl>
    <w:p>
      <w:pPr>
        <w:keepNext/>
        <w:spacing w:before="60" w:after="50" w:line="240" w:lineRule="auto"/>
      </w:pPr>
      <w:r>
        <w:rPr>
          <w:rFonts w:ascii="Arial" w:hAnsi="Arial"/>
          <w:b/>
          <w:i w:val="0"/>
          <w:color w:val="1B2B3A"/>
          <w:sz w:val="24"/>
        </w:rPr>
        <w:t>11. Key Risks &amp; Design Responses</w:t>
      </w:r>
    </w:p>
    <w:tbl>
      <w:tblPr>
        <w:tblW w:type="auto" w:w="0"/>
        <w:jc w:val="center"/>
        <w:tblLook w:firstColumn="1" w:firstRow="1" w:lastColumn="0" w:lastRow="0" w:noHBand="0" w:noVBand="1" w:val="04A0"/>
        <w:tblBorders>
          <w:top w:val="single" w:sz="4" w:space="0" w:color="D9DEE3"/>
          <w:left w:val="single" w:sz="4" w:space="0" w:color="D9DEE3"/>
          <w:bottom w:val="single" w:sz="4" w:space="0" w:color="D9DEE3"/>
          <w:right w:val="single" w:sz="4" w:space="0" w:color="D9DEE3"/>
          <w:insideH w:val="single" w:sz="4" w:space="0" w:color="D9DEE3"/>
          <w:insideV w:val="single" w:sz="4" w:space="0" w:color="D9DEE3"/>
        </w:tblBorders>
      </w:tblPr>
      <w:tblGrid>
        <w:gridCol w:w="5328"/>
        <w:gridCol w:w="5328"/>
      </w:tblGrid>
      <w:tr>
        <w:trPr>
          <w:tblHeader w:val="true"/>
        </w:trPr>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4"/>
              </w:rPr>
              <w:t>Risk</w:t>
            </w:r>
          </w:p>
        </w:tc>
        <w:tc>
          <w:tcPr>
            <w:tcW w:type="dxa" w:w="5328"/>
            <w:vAlign w:val="top"/>
            <w:tcMar>
              <w:top w:w="60" w:type="dxa"/>
              <w:start w:w="80" w:type="dxa"/>
              <w:bottom w:w="60" w:type="dxa"/>
              <w:end w:w="80" w:type="dxa"/>
            </w:tcMar>
            <w:shd w:fill="E9EEF2"/>
          </w:tcPr>
          <w:p>
            <w:pPr>
              <w:spacing w:before="0" w:after="16" w:line="235" w:lineRule="auto"/>
            </w:pPr>
            <w:r>
              <w:rPr>
                <w:rFonts w:ascii="Arial" w:hAnsi="Arial"/>
                <w:b/>
                <w:sz w:val="14"/>
              </w:rPr>
              <w:t>Design response</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Pay-to-rate conflict</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Nonprofit structure; fixed fees unrelated to grade; independent rating committee; commercial/rating separation; published methodology and appeals.</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Chicken-and-egg adoption</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Launch with anchor buyers and providers simultaneously; buyer recognition creates the reason for providers to participate.</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Subjective or gameable quality</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Category-specific rubrics, evidence-backed criteria, expert review, periodic calibration and rating history rather than a single opaque score.</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Voluntary participation creates selection bias</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Be explicit that ratings cover participating providers only; measure coverage and avoid presenting the rated universe as the whole market.</w:t>
            </w:r>
          </w:p>
        </w:tc>
      </w:tr>
      <w:tr>
        <w:tc>
          <w:tcPr>
            <w:tcW w:type="dxa" w:w="5328"/>
            <w:vAlign w:val="top"/>
            <w:tcMar>
              <w:top w:w="60" w:type="dxa"/>
              <w:start w:w="80" w:type="dxa"/>
              <w:bottom w:w="60" w:type="dxa"/>
              <w:end w:w="80" w:type="dxa"/>
            </w:tcMar>
          </w:tcPr>
          <w:p>
            <w:pPr>
              <w:spacing w:before="0" w:after="16" w:line="235" w:lineRule="auto"/>
            </w:pPr>
            <w:r>
              <w:rPr>
                <w:rFonts w:ascii="Arial" w:hAnsi="Arial"/>
                <w:b w:val="0"/>
                <w:sz w:val="14"/>
              </w:rPr>
              <w:t>Rights differ by provider and use</w:t>
            </w:r>
          </w:p>
        </w:tc>
        <w:tc>
          <w:tcPr>
            <w:tcW w:type="dxa" w:w="5328"/>
            <w:vAlign w:val="top"/>
            <w:tcMar>
              <w:top w:w="60" w:type="dxa"/>
              <w:start w:w="80" w:type="dxa"/>
              <w:bottom w:w="60" w:type="dxa"/>
              <w:end w:w="80" w:type="dxa"/>
            </w:tcMar>
          </w:tcPr>
          <w:p>
            <w:pPr>
              <w:spacing w:before="0" w:after="16" w:line="235" w:lineRule="auto"/>
            </w:pPr>
            <w:r>
              <w:rPr>
                <w:rFonts w:ascii="Arial" w:hAnsi="Arial"/>
                <w:b w:val="0"/>
                <w:sz w:val="14"/>
              </w:rPr>
              <w:t>Treat permitted post-training rights as an eligibility gate and encode use restrictions in the rating metadata rather than assuming one license fits all.</w:t>
            </w:r>
          </w:p>
        </w:tc>
      </w:tr>
    </w:tbl>
    <w:p>
      <w:pPr>
        <w:keepNext/>
        <w:spacing w:before="30" w:after="30" w:line="240" w:lineRule="auto"/>
      </w:pPr>
      <w:r>
        <w:rPr>
          <w:rFonts w:ascii="Arial" w:hAnsi="Arial"/>
          <w:b/>
          <w:i w:val="0"/>
          <w:color w:val="1B2B3A"/>
          <w:sz w:val="20"/>
        </w:rPr>
        <w:t>V1 Success Test</w:t>
      </w:r>
    </w:p>
    <w:p>
      <w:pPr>
        <w:spacing w:before="0" w:after="20" w:line="240" w:lineRule="auto"/>
      </w:pPr>
      <w:r>
        <w:rPr>
          <w:rFonts w:ascii="Arial" w:hAnsi="Arial"/>
          <w:b w:val="0"/>
          <w:i w:val="0"/>
          <w:sz w:val="17"/>
        </w:rPr>
        <w:t xml:space="preserve">The concept has legs if the pilot demonstrates three things: </w:t>
      </w:r>
      <w:r>
        <w:rPr>
          <w:rFonts w:ascii="Arial" w:hAnsi="Arial"/>
          <w:b/>
          <w:i w:val="0"/>
          <w:sz w:val="17"/>
        </w:rPr>
        <w:t>(1)</w:t>
      </w:r>
      <w:r>
        <w:rPr>
          <w:rFonts w:ascii="Arial" w:hAnsi="Arial"/>
          <w:b w:val="0"/>
          <w:i w:val="0"/>
          <w:sz w:val="17"/>
        </w:rPr>
        <w:t xml:space="preserve"> providers will pay to be assessed because the grade improves buyer access or pricing power; </w:t>
      </w:r>
      <w:r>
        <w:rPr>
          <w:rFonts w:ascii="Arial" w:hAnsi="Arial"/>
          <w:b/>
          <w:i w:val="0"/>
          <w:sz w:val="17"/>
        </w:rPr>
        <w:t>(2)</w:t>
      </w:r>
      <w:r>
        <w:rPr>
          <w:rFonts w:ascii="Arial" w:hAnsi="Arial"/>
          <w:b w:val="0"/>
          <w:i w:val="0"/>
          <w:sz w:val="17"/>
        </w:rPr>
        <w:t xml:space="preserve"> buyers use the rating to narrow diligence or procurement decisions; and </w:t>
      </w:r>
      <w:r>
        <w:rPr>
          <w:rFonts w:ascii="Arial" w:hAnsi="Arial"/>
          <w:b/>
          <w:i w:val="0"/>
          <w:sz w:val="17"/>
        </w:rPr>
        <w:t>(3)</w:t>
      </w:r>
      <w:r>
        <w:rPr>
          <w:rFonts w:ascii="Arial" w:hAnsi="Arial"/>
          <w:b w:val="0"/>
          <w:i w:val="0"/>
          <w:sz w:val="17"/>
        </w:rPr>
        <w:t xml:space="preserve"> higher grades show a credible relationship to better-quality downstream AI performance often enough to sustain trust in the standard.</w:t>
      </w:r>
    </w:p>
    <w:p>
      <w:pPr>
        <w:spacing w:before="20" w:after="0" w:line="216" w:lineRule="auto"/>
      </w:pPr>
      <w:r>
        <w:rPr>
          <w:rFonts w:ascii="Arial" w:hAnsi="Arial"/>
          <w:b w:val="0"/>
          <w:i w:val="0"/>
          <w:color w:val="6E6E6E"/>
          <w:sz w:val="11"/>
        </w:rPr>
        <w:t>Sources: Roundtable Background Note and Ideas Wall; Neudata; Eagle Alpha; NewsGuard; Data &amp; Trusted AI Alliance; C2PA; Microsoft PCM; TollBit; FDX; OpenAI Financial Services (accessed Sept. 18, 2026).</w:t>
      </w:r>
    </w:p>
    <w:sectPr w:rsidR="00FC693F" w:rsidRPr="0006063C" w:rsidSect="00034616">
      <w:headerReference w:type="default" r:id="rId9"/>
      <w:footerReference w:type="default" r:id="rId10"/>
      <w:pgSz w:w="12240" w:h="15840"/>
      <w:pgMar w:top="691" w:right="792" w:bottom="691"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Arial" w:hAnsi="Arial"/>
        <w:b w:val="0"/>
        <w:i w:val="0"/>
        <w:color w:val="737373"/>
        <w:sz w:val="14"/>
      </w:rPr>
      <w:t>Independent AI Content Ratings | Post-Training Market Infrastructure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right"/>
    </w:pPr>
    <w:r>
      <w:rPr>
        <w:rFonts w:ascii="Arial" w:hAnsi="Arial"/>
        <w:b w:val="0"/>
        <w:i w:val="0"/>
        <w:color w:val="646464"/>
        <w:sz w:val="15"/>
      </w:rPr>
      <w:t>V1 | September 18,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18"/>
    </w:rPr>
  </w:style>
  <w:style w:type="paragraph" w:styleId="ListBullet2">
    <w:name w:val="List Bullet 2"/>
    <w:basedOn w:val="Normal"/>
    <w:uiPriority w:val="99"/>
    <w:unhideWhenUsed/>
    <w:rsid w:val="00326F90"/>
    <w:pPr>
      <w:numPr>
        <w:numId w:val="2"/>
      </w:numPr>
      <w:contextualSpacing/>
    </w:pPr>
    <w:rPr>
      <w:rFonts w:ascii="Arial" w:hAnsi="Arial"/>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